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snapToGrid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青少年科学调查体验活动科技教育实践报告</w:t>
      </w:r>
    </w:p>
    <w:p>
      <w:pPr>
        <w:wordWrap/>
        <w:snapToGrid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评审标准</w:t>
      </w:r>
    </w:p>
    <w:tbl>
      <w:tblPr>
        <w:tblStyle w:val="3"/>
        <w:tblpPr w:leftFromText="180" w:rightFromText="180" w:vertAnchor="text" w:horzAnchor="page" w:tblpX="1650" w:tblpY="199"/>
        <w:tblOverlap w:val="never"/>
        <w:tblW w:w="8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6521"/>
        <w:gridCol w:w="1134"/>
      </w:tblGrid>
      <w:tr>
        <w:trPr>
          <w:trHeight w:val="850" w:hRule="atLeast"/>
          <w:tblHeader/>
        </w:trPr>
        <w:tc>
          <w:tcPr>
            <w:tcW w:w="1276" w:type="dxa"/>
            <w:vAlign w:val="center"/>
          </w:tcPr>
          <w:p>
            <w:pPr>
              <w:jc w:val="center"/>
              <w:rPr>
                <w:rFonts w:ascii="仿宋_GB2312" w:hAnsi="黑体" w:eastAsia="仿宋_GB2312"/>
                <w:b/>
                <w:sz w:val="24"/>
                <w:szCs w:val="24"/>
              </w:rPr>
            </w:pPr>
            <w:r>
              <w:rPr>
                <w:rFonts w:hint="eastAsia" w:ascii="仿宋_GB2312" w:hAnsi="黑体" w:eastAsia="仿宋_GB2312"/>
                <w:b/>
                <w:sz w:val="24"/>
                <w:szCs w:val="24"/>
              </w:rPr>
              <w:t>指标</w:t>
            </w:r>
          </w:p>
        </w:tc>
        <w:tc>
          <w:tcPr>
            <w:tcW w:w="6521" w:type="dxa"/>
            <w:vAlign w:val="center"/>
          </w:tcPr>
          <w:p>
            <w:pPr>
              <w:jc w:val="center"/>
              <w:rPr>
                <w:rFonts w:ascii="仿宋_GB2312" w:hAnsi="黑体" w:eastAsia="仿宋_GB2312"/>
                <w:b/>
                <w:sz w:val="24"/>
                <w:szCs w:val="24"/>
              </w:rPr>
            </w:pPr>
            <w:r>
              <w:rPr>
                <w:rFonts w:hint="eastAsia" w:ascii="仿宋_GB2312" w:hAnsi="黑体" w:eastAsia="仿宋_GB2312"/>
                <w:b/>
                <w:sz w:val="24"/>
                <w:szCs w:val="24"/>
              </w:rPr>
              <w:t>说明</w:t>
            </w:r>
          </w:p>
        </w:tc>
        <w:tc>
          <w:tcPr>
            <w:tcW w:w="1134" w:type="dxa"/>
            <w:vAlign w:val="center"/>
          </w:tcPr>
          <w:p>
            <w:pPr>
              <w:jc w:val="center"/>
              <w:rPr>
                <w:rFonts w:ascii="仿宋_GB2312" w:hAnsi="黑体" w:eastAsia="仿宋_GB2312"/>
                <w:b/>
                <w:sz w:val="24"/>
                <w:szCs w:val="24"/>
              </w:rPr>
            </w:pPr>
            <w:r>
              <w:rPr>
                <w:rFonts w:hint="eastAsia" w:ascii="仿宋_GB2312" w:hAnsi="黑体" w:eastAsia="仿宋_GB2312"/>
                <w:sz w:val="24"/>
                <w:szCs w:val="24"/>
              </w:rPr>
              <w:t>权重</w:t>
            </w:r>
          </w:p>
        </w:tc>
      </w:tr>
      <w:tr>
        <w:trPr>
          <w:trHeight w:val="850" w:hRule="atLeast"/>
          <w:tblHeader/>
        </w:trPr>
        <w:tc>
          <w:tcPr>
            <w:tcW w:w="1276" w:type="dxa"/>
            <w:vAlign w:val="center"/>
          </w:tcPr>
          <w:p>
            <w:pPr>
              <w:jc w:val="center"/>
              <w:rPr>
                <w:rFonts w:ascii="仿宋_GB2312" w:hAnsi="黑体" w:eastAsia="仿宋_GB2312"/>
                <w:sz w:val="24"/>
                <w:szCs w:val="24"/>
              </w:rPr>
            </w:pPr>
            <w:r>
              <w:rPr>
                <w:rFonts w:hint="eastAsia" w:ascii="仿宋_GB2312" w:hAnsi="黑体" w:eastAsia="仿宋_GB2312"/>
                <w:sz w:val="24"/>
                <w:szCs w:val="24"/>
              </w:rPr>
              <w:t>教育性</w:t>
            </w:r>
          </w:p>
        </w:tc>
        <w:tc>
          <w:tcPr>
            <w:tcW w:w="6521" w:type="dxa"/>
            <w:vAlign w:val="center"/>
          </w:tcPr>
          <w:p>
            <w:pPr>
              <w:pStyle w:val="5"/>
              <w:widowControl/>
              <w:numPr>
                <w:ilvl w:val="0"/>
                <w:numId w:val="1"/>
              </w:numPr>
              <w:ind w:firstLineChars="0"/>
              <w:jc w:val="left"/>
              <w:rPr>
                <w:rFonts w:ascii="仿宋_GB2312" w:hAnsi="黑体" w:eastAsia="仿宋_GB2312"/>
                <w:b/>
                <w:sz w:val="24"/>
                <w:szCs w:val="24"/>
              </w:rPr>
            </w:pPr>
            <w:r>
              <w:rPr>
                <w:rFonts w:hint="eastAsia" w:ascii="仿宋_GB2312" w:hAnsi="黑体" w:eastAsia="仿宋_GB2312"/>
                <w:sz w:val="24"/>
                <w:szCs w:val="24"/>
              </w:rPr>
              <w:t>活动目标需与立德树人的根本任务紧密相关，符合学校课程标准。</w:t>
            </w:r>
          </w:p>
          <w:p>
            <w:pPr>
              <w:pStyle w:val="5"/>
              <w:widowControl/>
              <w:numPr>
                <w:ilvl w:val="0"/>
                <w:numId w:val="1"/>
              </w:numPr>
              <w:ind w:firstLineChars="0"/>
              <w:jc w:val="left"/>
              <w:rPr>
                <w:rFonts w:ascii="仿宋_GB2312" w:hAnsi="黑体" w:eastAsia="仿宋_GB2312"/>
                <w:b/>
                <w:sz w:val="24"/>
                <w:szCs w:val="24"/>
              </w:rPr>
            </w:pPr>
            <w:r>
              <w:rPr>
                <w:rFonts w:hint="eastAsia" w:ascii="仿宋_GB2312" w:hAnsi="黑体" w:eastAsia="仿宋_GB2312"/>
                <w:sz w:val="24"/>
                <w:szCs w:val="24"/>
              </w:rPr>
              <w:t>活动能围绕学生真实生活需要和未来发展，鼓励学生主动运用跨学科知识解决真实问题，展现批判性思维和创造力。</w:t>
            </w:r>
          </w:p>
          <w:p>
            <w:pPr>
              <w:pStyle w:val="5"/>
              <w:widowControl/>
              <w:numPr>
                <w:ilvl w:val="0"/>
                <w:numId w:val="1"/>
              </w:numPr>
              <w:ind w:firstLineChars="0"/>
              <w:jc w:val="left"/>
              <w:rPr>
                <w:rFonts w:ascii="仿宋_GB2312" w:hAnsi="黑体" w:eastAsia="仿宋_GB2312"/>
                <w:b/>
                <w:sz w:val="24"/>
                <w:szCs w:val="24"/>
              </w:rPr>
            </w:pPr>
            <w:r>
              <w:rPr>
                <w:rFonts w:hint="eastAsia" w:ascii="仿宋_GB2312" w:hAnsi="黑体" w:eastAsia="仿宋_GB2312"/>
                <w:sz w:val="24"/>
                <w:szCs w:val="24"/>
              </w:rPr>
              <w:t>活动能激发青少年的科学兴趣，启发学生思考，鼓励动手实践，培养科学精神和创新能力。</w:t>
            </w:r>
          </w:p>
          <w:p>
            <w:pPr>
              <w:pStyle w:val="5"/>
              <w:widowControl/>
              <w:numPr>
                <w:ilvl w:val="0"/>
                <w:numId w:val="1"/>
              </w:numPr>
              <w:ind w:firstLineChars="0"/>
              <w:jc w:val="left"/>
              <w:rPr>
                <w:rFonts w:ascii="仿宋_GB2312" w:hAnsi="黑体" w:eastAsia="仿宋_GB2312"/>
                <w:b/>
                <w:sz w:val="24"/>
                <w:szCs w:val="24"/>
              </w:rPr>
            </w:pPr>
            <w:r>
              <w:rPr>
                <w:rFonts w:hint="eastAsia" w:ascii="仿宋_GB2312" w:hAnsi="黑体" w:eastAsia="仿宋_GB2312"/>
                <w:sz w:val="24"/>
                <w:szCs w:val="24"/>
              </w:rPr>
              <w:t>活动应培养学生团队协作与沟通能力，评估团队工作的效率和沟通的有效性。</w:t>
            </w:r>
          </w:p>
          <w:p>
            <w:pPr>
              <w:pStyle w:val="5"/>
              <w:widowControl/>
              <w:numPr>
                <w:ilvl w:val="0"/>
                <w:numId w:val="1"/>
              </w:numPr>
              <w:ind w:firstLineChars="0"/>
              <w:jc w:val="left"/>
              <w:rPr>
                <w:rFonts w:ascii="仿宋_GB2312" w:hAnsi="黑体" w:eastAsia="仿宋_GB2312"/>
                <w:b/>
                <w:sz w:val="24"/>
                <w:szCs w:val="24"/>
              </w:rPr>
            </w:pPr>
            <w:r>
              <w:rPr>
                <w:rFonts w:hint="eastAsia" w:ascii="仿宋_GB2312" w:hAnsi="黑体" w:eastAsia="仿宋_GB2312"/>
                <w:sz w:val="24"/>
                <w:szCs w:val="24"/>
              </w:rPr>
              <w:t>活动应关注学生的综合表现和交流展示，体现学生在活动中的表现和进步，采用过程性评价。</w:t>
            </w:r>
          </w:p>
        </w:tc>
        <w:tc>
          <w:tcPr>
            <w:tcW w:w="1134" w:type="dxa"/>
            <w:vAlign w:val="center"/>
          </w:tcPr>
          <w:p>
            <w:pPr>
              <w:jc w:val="center"/>
              <w:rPr>
                <w:rFonts w:ascii="仿宋_GB2312" w:hAnsi="黑体" w:eastAsia="仿宋_GB2312"/>
                <w:sz w:val="24"/>
                <w:szCs w:val="24"/>
              </w:rPr>
            </w:pPr>
            <w:r>
              <w:rPr>
                <w:rFonts w:ascii="仿宋_GB2312" w:hAnsi="黑体" w:eastAsia="仿宋_GB2312"/>
                <w:sz w:val="24"/>
                <w:szCs w:val="24"/>
              </w:rPr>
              <w:t>50</w:t>
            </w:r>
            <w:r>
              <w:rPr>
                <w:rFonts w:hint="eastAsia" w:ascii="仿宋_GB2312" w:hAnsi="黑体" w:eastAsia="仿宋_GB2312"/>
                <w:sz w:val="24"/>
                <w:szCs w:val="24"/>
              </w:rPr>
              <w:t>%</w:t>
            </w:r>
          </w:p>
        </w:tc>
      </w:tr>
      <w:tr>
        <w:trPr>
          <w:trHeight w:val="425" w:hRule="atLeast"/>
        </w:trPr>
        <w:tc>
          <w:tcPr>
            <w:tcW w:w="1276" w:type="dxa"/>
            <w:vMerge w:val="restart"/>
            <w:vAlign w:val="center"/>
          </w:tcPr>
          <w:p>
            <w:pPr>
              <w:jc w:val="center"/>
              <w:rPr>
                <w:rFonts w:ascii="仿宋_GB2312" w:hAnsi="黑体" w:eastAsia="仿宋_GB2312"/>
                <w:sz w:val="24"/>
                <w:szCs w:val="24"/>
              </w:rPr>
            </w:pPr>
            <w:r>
              <w:rPr>
                <w:rFonts w:hint="eastAsia" w:ascii="仿宋_GB2312" w:hAnsi="黑体" w:eastAsia="仿宋_GB2312"/>
                <w:sz w:val="24"/>
                <w:szCs w:val="24"/>
              </w:rPr>
              <w:t>创新性</w:t>
            </w:r>
          </w:p>
        </w:tc>
        <w:tc>
          <w:tcPr>
            <w:tcW w:w="6521" w:type="dxa"/>
            <w:vMerge w:val="restart"/>
            <w:vAlign w:val="center"/>
          </w:tcPr>
          <w:p>
            <w:pPr>
              <w:pStyle w:val="5"/>
              <w:widowControl/>
              <w:numPr>
                <w:ilvl w:val="0"/>
                <w:numId w:val="2"/>
              </w:numPr>
              <w:ind w:firstLineChars="0"/>
              <w:jc w:val="left"/>
              <w:rPr>
                <w:rFonts w:ascii="仿宋_GB2312" w:hAnsi="黑体" w:eastAsia="仿宋_GB2312"/>
                <w:b/>
                <w:sz w:val="24"/>
                <w:szCs w:val="24"/>
              </w:rPr>
            </w:pPr>
            <w:r>
              <w:rPr>
                <w:rFonts w:hint="eastAsia" w:ascii="仿宋_GB2312" w:hAnsi="黑体" w:eastAsia="仿宋_GB2312"/>
                <w:sz w:val="24"/>
                <w:szCs w:val="24"/>
              </w:rPr>
              <w:t>活动报告不是青少年科学调查体验活动指南的复制和学生活动过程的记录，与活动主题一致的需在活动指南基础上进行创新，可以选择青少年科学调查体验活动之外的其它主题。</w:t>
            </w:r>
          </w:p>
          <w:p>
            <w:pPr>
              <w:pStyle w:val="5"/>
              <w:widowControl/>
              <w:numPr>
                <w:ilvl w:val="0"/>
                <w:numId w:val="2"/>
              </w:numPr>
              <w:ind w:firstLineChars="0"/>
              <w:jc w:val="left"/>
              <w:rPr>
                <w:rFonts w:ascii="仿宋_GB2312" w:hAnsi="黑体" w:eastAsia="仿宋_GB2312"/>
                <w:b/>
                <w:sz w:val="24"/>
                <w:szCs w:val="24"/>
              </w:rPr>
            </w:pPr>
            <w:r>
              <w:rPr>
                <w:rFonts w:hint="eastAsia" w:ascii="仿宋_GB2312" w:hAnsi="黑体" w:eastAsia="仿宋_GB2312"/>
                <w:sz w:val="24"/>
                <w:szCs w:val="24"/>
              </w:rPr>
              <w:t>能将本地特色、学校特色、校园文化有机融入活动，充分利用周边资源。</w:t>
            </w:r>
          </w:p>
          <w:p>
            <w:pPr>
              <w:pStyle w:val="5"/>
              <w:widowControl/>
              <w:numPr>
                <w:ilvl w:val="0"/>
                <w:numId w:val="2"/>
              </w:numPr>
              <w:ind w:firstLineChars="0"/>
              <w:jc w:val="left"/>
              <w:rPr>
                <w:rFonts w:ascii="仿宋_GB2312" w:hAnsi="黑体" w:eastAsia="仿宋_GB2312"/>
                <w:b/>
                <w:sz w:val="24"/>
                <w:szCs w:val="24"/>
              </w:rPr>
            </w:pPr>
            <w:r>
              <w:rPr>
                <w:rFonts w:hint="eastAsia" w:ascii="仿宋_GB2312" w:hAnsi="黑体" w:eastAsia="仿宋_GB2312"/>
                <w:sz w:val="24"/>
                <w:szCs w:val="24"/>
              </w:rPr>
              <w:t>活动内容、过程、方法或评价设计应富有创意，展示独特性和创新思维。</w:t>
            </w:r>
          </w:p>
          <w:p>
            <w:pPr>
              <w:pStyle w:val="5"/>
              <w:widowControl/>
              <w:numPr>
                <w:ilvl w:val="0"/>
                <w:numId w:val="2"/>
              </w:numPr>
              <w:ind w:firstLineChars="0"/>
              <w:jc w:val="left"/>
              <w:rPr>
                <w:rFonts w:ascii="仿宋_GB2312" w:hAnsi="黑体" w:eastAsia="仿宋_GB2312"/>
                <w:b/>
                <w:sz w:val="24"/>
                <w:szCs w:val="24"/>
              </w:rPr>
            </w:pPr>
            <w:r>
              <w:rPr>
                <w:rFonts w:hint="eastAsia" w:ascii="仿宋_GB2312" w:hAnsi="黑体" w:eastAsia="仿宋_GB2312"/>
                <w:sz w:val="24"/>
                <w:szCs w:val="24"/>
              </w:rPr>
              <w:t>活动各环节设计和时间安排合理，利于推广普及，具有较高的可复制性和对其他教育环境的适用性。</w:t>
            </w:r>
          </w:p>
        </w:tc>
        <w:tc>
          <w:tcPr>
            <w:tcW w:w="1134" w:type="dxa"/>
            <w:vMerge w:val="restart"/>
            <w:vAlign w:val="center"/>
          </w:tcPr>
          <w:p>
            <w:pPr>
              <w:jc w:val="center"/>
              <w:rPr>
                <w:rFonts w:ascii="仿宋_GB2312" w:hAnsi="黑体" w:eastAsia="仿宋_GB2312"/>
                <w:sz w:val="24"/>
                <w:szCs w:val="24"/>
              </w:rPr>
            </w:pPr>
            <w:r>
              <w:rPr>
                <w:rFonts w:ascii="仿宋_GB2312" w:hAnsi="黑体" w:eastAsia="仿宋_GB2312"/>
                <w:sz w:val="24"/>
                <w:szCs w:val="24"/>
              </w:rPr>
              <w:t>30</w:t>
            </w:r>
            <w:r>
              <w:rPr>
                <w:rFonts w:hint="eastAsia" w:ascii="仿宋_GB2312" w:hAnsi="黑体" w:eastAsia="仿宋_GB2312"/>
                <w:sz w:val="24"/>
                <w:szCs w:val="24"/>
              </w:rPr>
              <w:t>%</w:t>
            </w:r>
          </w:p>
        </w:tc>
      </w:tr>
      <w:tr>
        <w:trPr>
          <w:trHeight w:val="425" w:hRule="atLeast"/>
        </w:trPr>
        <w:tc>
          <w:tcPr>
            <w:tcW w:w="1276" w:type="dxa"/>
            <w:vMerge w:val="continue"/>
            <w:vAlign w:val="center"/>
          </w:tcPr>
          <w:p>
            <w:pPr>
              <w:jc w:val="center"/>
              <w:rPr>
                <w:rFonts w:ascii="仿宋_GB2312" w:hAnsi="黑体" w:eastAsia="仿宋_GB2312"/>
                <w:sz w:val="24"/>
                <w:szCs w:val="24"/>
                <w:highlight w:val="yellow"/>
              </w:rPr>
            </w:pPr>
          </w:p>
        </w:tc>
        <w:tc>
          <w:tcPr>
            <w:tcW w:w="6521" w:type="dxa"/>
            <w:vMerge w:val="continue"/>
            <w:vAlign w:val="center"/>
          </w:tcPr>
          <w:p>
            <w:pPr>
              <w:rPr>
                <w:rFonts w:ascii="仿宋_GB2312" w:hAnsi="黑体" w:eastAsia="仿宋_GB2312"/>
                <w:sz w:val="24"/>
                <w:szCs w:val="24"/>
                <w:highlight w:val="yellow"/>
              </w:rPr>
            </w:pPr>
          </w:p>
        </w:tc>
        <w:tc>
          <w:tcPr>
            <w:tcW w:w="1134" w:type="dxa"/>
            <w:vMerge w:val="continue"/>
            <w:vAlign w:val="center"/>
          </w:tcPr>
          <w:p>
            <w:pPr>
              <w:jc w:val="center"/>
              <w:rPr>
                <w:rFonts w:ascii="仿宋_GB2312" w:hAnsi="黑体" w:eastAsia="仿宋_GB2312"/>
                <w:sz w:val="24"/>
                <w:szCs w:val="24"/>
              </w:rPr>
            </w:pPr>
          </w:p>
        </w:tc>
      </w:tr>
      <w:tr>
        <w:trPr>
          <w:trHeight w:val="730" w:hRule="atLeast"/>
        </w:trPr>
        <w:tc>
          <w:tcPr>
            <w:tcW w:w="1276" w:type="dxa"/>
            <w:vMerge w:val="continue"/>
            <w:vAlign w:val="center"/>
          </w:tcPr>
          <w:p>
            <w:pPr>
              <w:jc w:val="center"/>
              <w:rPr>
                <w:rFonts w:ascii="仿宋_GB2312" w:hAnsi="黑体" w:eastAsia="仿宋_GB2312"/>
                <w:sz w:val="24"/>
                <w:szCs w:val="24"/>
                <w:highlight w:val="yellow"/>
              </w:rPr>
            </w:pPr>
          </w:p>
        </w:tc>
        <w:tc>
          <w:tcPr>
            <w:tcW w:w="6521" w:type="dxa"/>
            <w:vMerge w:val="continue"/>
            <w:vAlign w:val="center"/>
          </w:tcPr>
          <w:p>
            <w:pPr>
              <w:rPr>
                <w:rFonts w:ascii="仿宋_GB2312" w:hAnsi="黑体" w:eastAsia="仿宋_GB2312"/>
                <w:sz w:val="24"/>
                <w:szCs w:val="24"/>
                <w:highlight w:val="yellow"/>
              </w:rPr>
            </w:pPr>
          </w:p>
        </w:tc>
        <w:tc>
          <w:tcPr>
            <w:tcW w:w="1134" w:type="dxa"/>
            <w:vMerge w:val="continue"/>
            <w:vAlign w:val="center"/>
          </w:tcPr>
          <w:p>
            <w:pPr>
              <w:jc w:val="center"/>
              <w:rPr>
                <w:rFonts w:ascii="仿宋_GB2312" w:hAnsi="黑体" w:eastAsia="仿宋_GB2312"/>
                <w:sz w:val="24"/>
                <w:szCs w:val="24"/>
              </w:rPr>
            </w:pPr>
          </w:p>
        </w:tc>
      </w:tr>
      <w:tr>
        <w:trPr>
          <w:trHeight w:val="425" w:hRule="atLeast"/>
        </w:trPr>
        <w:tc>
          <w:tcPr>
            <w:tcW w:w="1276" w:type="dxa"/>
            <w:vMerge w:val="continue"/>
            <w:vAlign w:val="center"/>
          </w:tcPr>
          <w:p>
            <w:pPr>
              <w:jc w:val="center"/>
              <w:rPr>
                <w:rFonts w:ascii="仿宋_GB2312" w:hAnsi="黑体" w:eastAsia="仿宋_GB2312"/>
                <w:sz w:val="24"/>
                <w:szCs w:val="24"/>
              </w:rPr>
            </w:pPr>
          </w:p>
        </w:tc>
        <w:tc>
          <w:tcPr>
            <w:tcW w:w="6521" w:type="dxa"/>
            <w:vMerge w:val="continue"/>
            <w:vAlign w:val="center"/>
          </w:tcPr>
          <w:p>
            <w:pPr>
              <w:rPr>
                <w:rFonts w:ascii="仿宋_GB2312" w:hAnsi="黑体" w:eastAsia="仿宋_GB2312"/>
                <w:sz w:val="24"/>
                <w:szCs w:val="24"/>
              </w:rPr>
            </w:pPr>
          </w:p>
        </w:tc>
        <w:tc>
          <w:tcPr>
            <w:tcW w:w="1134" w:type="dxa"/>
            <w:vMerge w:val="continue"/>
            <w:vAlign w:val="center"/>
          </w:tcPr>
          <w:p>
            <w:pPr>
              <w:jc w:val="center"/>
              <w:rPr>
                <w:rFonts w:ascii="仿宋_GB2312" w:hAnsi="黑体" w:eastAsia="仿宋_GB2312"/>
                <w:sz w:val="24"/>
                <w:szCs w:val="24"/>
              </w:rPr>
            </w:pPr>
          </w:p>
        </w:tc>
      </w:tr>
      <w:tr>
        <w:trPr>
          <w:trHeight w:val="425" w:hRule="atLeast"/>
        </w:trPr>
        <w:tc>
          <w:tcPr>
            <w:tcW w:w="1276" w:type="dxa"/>
            <w:vMerge w:val="continue"/>
            <w:vAlign w:val="center"/>
          </w:tcPr>
          <w:p>
            <w:pPr>
              <w:jc w:val="center"/>
              <w:rPr>
                <w:rFonts w:ascii="仿宋_GB2312" w:hAnsi="黑体" w:eastAsia="仿宋_GB2312"/>
                <w:sz w:val="24"/>
                <w:szCs w:val="24"/>
              </w:rPr>
            </w:pPr>
          </w:p>
        </w:tc>
        <w:tc>
          <w:tcPr>
            <w:tcW w:w="6521" w:type="dxa"/>
            <w:vMerge w:val="continue"/>
            <w:vAlign w:val="center"/>
          </w:tcPr>
          <w:p>
            <w:pPr>
              <w:rPr>
                <w:rFonts w:ascii="仿宋_GB2312" w:hAnsi="黑体" w:eastAsia="仿宋_GB2312"/>
                <w:sz w:val="24"/>
                <w:szCs w:val="24"/>
              </w:rPr>
            </w:pPr>
          </w:p>
        </w:tc>
        <w:tc>
          <w:tcPr>
            <w:tcW w:w="1134" w:type="dxa"/>
            <w:vMerge w:val="continue"/>
            <w:vAlign w:val="center"/>
          </w:tcPr>
          <w:p>
            <w:pPr>
              <w:jc w:val="center"/>
              <w:rPr>
                <w:rFonts w:ascii="仿宋_GB2312" w:hAnsi="黑体" w:eastAsia="仿宋_GB2312"/>
                <w:sz w:val="24"/>
                <w:szCs w:val="24"/>
              </w:rPr>
            </w:pPr>
          </w:p>
        </w:tc>
      </w:tr>
      <w:tr>
        <w:trPr>
          <w:trHeight w:val="425" w:hRule="atLeast"/>
        </w:trPr>
        <w:tc>
          <w:tcPr>
            <w:tcW w:w="1276" w:type="dxa"/>
            <w:vAlign w:val="center"/>
          </w:tcPr>
          <w:p>
            <w:pPr>
              <w:jc w:val="center"/>
              <w:rPr>
                <w:rFonts w:ascii="仿宋_GB2312" w:hAnsi="黑体" w:eastAsia="仿宋_GB2312"/>
                <w:sz w:val="24"/>
                <w:szCs w:val="24"/>
              </w:rPr>
            </w:pPr>
            <w:r>
              <w:rPr>
                <w:rFonts w:hint="eastAsia" w:ascii="仿宋_GB2312" w:hAnsi="黑体" w:eastAsia="仿宋_GB2312"/>
                <w:sz w:val="24"/>
                <w:szCs w:val="24"/>
              </w:rPr>
              <w:t>完整性</w:t>
            </w:r>
          </w:p>
        </w:tc>
        <w:tc>
          <w:tcPr>
            <w:tcW w:w="6521" w:type="dxa"/>
            <w:vAlign w:val="center"/>
          </w:tcPr>
          <w:p>
            <w:pPr>
              <w:pStyle w:val="5"/>
              <w:widowControl/>
              <w:numPr>
                <w:ilvl w:val="0"/>
                <w:numId w:val="3"/>
              </w:numPr>
              <w:ind w:firstLineChars="0"/>
              <w:rPr>
                <w:rFonts w:ascii="仿宋_GB2312" w:hAnsi="黑体" w:eastAsia="仿宋_GB2312"/>
                <w:sz w:val="24"/>
                <w:szCs w:val="24"/>
              </w:rPr>
            </w:pPr>
            <w:r>
              <w:rPr>
                <w:rFonts w:hint="eastAsia" w:ascii="仿宋_GB2312" w:hAnsi="黑体" w:eastAsia="仿宋_GB2312"/>
                <w:sz w:val="24"/>
                <w:szCs w:val="24"/>
              </w:rPr>
              <w:t>活动报告内容完整，格式规范，包括背景</w:t>
            </w:r>
            <w:r>
              <w:rPr>
                <w:rFonts w:ascii="仿宋_GB2312" w:hAnsi="黑体" w:eastAsia="仿宋_GB2312"/>
                <w:sz w:val="24"/>
                <w:szCs w:val="24"/>
              </w:rPr>
              <w:t>、</w:t>
            </w:r>
            <w:r>
              <w:rPr>
                <w:rFonts w:hint="eastAsia" w:ascii="仿宋_GB2312" w:hAnsi="黑体" w:eastAsia="仿宋_GB2312"/>
                <w:sz w:val="24"/>
                <w:szCs w:val="24"/>
              </w:rPr>
              <w:t>目标、</w:t>
            </w:r>
            <w:r>
              <w:rPr>
                <w:rFonts w:ascii="仿宋_GB2312" w:hAnsi="黑体" w:eastAsia="仿宋_GB2312"/>
                <w:sz w:val="24"/>
                <w:szCs w:val="24"/>
              </w:rPr>
              <w:t>内容、</w:t>
            </w:r>
            <w:r>
              <w:rPr>
                <w:rFonts w:hint="eastAsia" w:ascii="仿宋_GB2312" w:hAnsi="黑体" w:eastAsia="仿宋_GB2312"/>
                <w:sz w:val="24"/>
                <w:szCs w:val="24"/>
              </w:rPr>
              <w:t>过程、</w:t>
            </w:r>
            <w:r>
              <w:rPr>
                <w:rFonts w:ascii="仿宋_GB2312" w:hAnsi="黑体" w:eastAsia="仿宋_GB2312"/>
                <w:sz w:val="24"/>
                <w:szCs w:val="24"/>
              </w:rPr>
              <w:t>效果</w:t>
            </w:r>
            <w:r>
              <w:rPr>
                <w:rFonts w:hint="eastAsia" w:ascii="仿宋_GB2312" w:hAnsi="黑体" w:eastAsia="仿宋_GB2312"/>
                <w:sz w:val="24"/>
                <w:szCs w:val="24"/>
              </w:rPr>
              <w:t>、评价等内容。</w:t>
            </w:r>
          </w:p>
          <w:p>
            <w:pPr>
              <w:pStyle w:val="5"/>
              <w:widowControl/>
              <w:numPr>
                <w:ilvl w:val="0"/>
                <w:numId w:val="3"/>
              </w:numPr>
              <w:ind w:firstLineChars="0"/>
              <w:rPr>
                <w:rFonts w:ascii="仿宋_GB2312" w:hAnsi="黑体" w:eastAsia="仿宋_GB2312"/>
                <w:sz w:val="24"/>
                <w:szCs w:val="24"/>
              </w:rPr>
            </w:pPr>
            <w:r>
              <w:rPr>
                <w:rFonts w:hint="eastAsia" w:ascii="仿宋_GB2312" w:hAnsi="黑体" w:eastAsia="仿宋_GB2312"/>
                <w:sz w:val="24"/>
                <w:szCs w:val="24"/>
              </w:rPr>
              <w:t>活动已经完成，过程完整，内容真实有效。</w:t>
            </w:r>
          </w:p>
          <w:p>
            <w:pPr>
              <w:pStyle w:val="5"/>
              <w:widowControl/>
              <w:numPr>
                <w:ilvl w:val="0"/>
                <w:numId w:val="3"/>
              </w:numPr>
              <w:ind w:firstLineChars="0"/>
              <w:rPr>
                <w:rFonts w:ascii="仿宋_GB2312" w:hAnsi="黑体" w:eastAsia="仿宋_GB2312"/>
                <w:sz w:val="24"/>
                <w:szCs w:val="24"/>
              </w:rPr>
            </w:pPr>
            <w:r>
              <w:rPr>
                <w:rFonts w:hint="eastAsia" w:ascii="仿宋_GB2312" w:hAnsi="黑体" w:eastAsia="仿宋_GB2312"/>
                <w:sz w:val="24"/>
                <w:szCs w:val="24"/>
              </w:rPr>
              <w:t>能详实地分析学情和学习过程，对学习效果做出客观的评价反思，发现不足和问题，提出改进方案。</w:t>
            </w:r>
          </w:p>
        </w:tc>
        <w:tc>
          <w:tcPr>
            <w:tcW w:w="1134" w:type="dxa"/>
            <w:vAlign w:val="center"/>
          </w:tcPr>
          <w:p>
            <w:pPr>
              <w:jc w:val="center"/>
              <w:rPr>
                <w:rFonts w:ascii="仿宋_GB2312" w:hAnsi="黑体" w:eastAsia="仿宋_GB2312"/>
                <w:sz w:val="24"/>
                <w:szCs w:val="24"/>
              </w:rPr>
            </w:pPr>
            <w:r>
              <w:rPr>
                <w:rFonts w:ascii="仿宋_GB2312" w:hAnsi="黑体" w:eastAsia="仿宋_GB2312"/>
                <w:sz w:val="24"/>
                <w:szCs w:val="24"/>
              </w:rPr>
              <w:t>20</w:t>
            </w:r>
            <w:r>
              <w:rPr>
                <w:rFonts w:hint="eastAsia" w:ascii="仿宋_GB2312" w:hAnsi="黑体" w:eastAsia="仿宋_GB2312"/>
                <w:sz w:val="24"/>
                <w:szCs w:val="24"/>
              </w:rPr>
              <w:t>%</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方正小标宋简体">
    <w:altName w:val="汉仪书宋二KW"/>
    <w:panose1 w:val="03000509000000000000"/>
    <w:charset w:val="86"/>
    <w:family w:val="script"/>
    <w:pitch w:val="default"/>
    <w:sig w:usb0="00000000" w:usb1="00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2224F4"/>
    <w:multiLevelType w:val="multilevel"/>
    <w:tmpl w:val="102224F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3BC95298"/>
    <w:multiLevelType w:val="multilevel"/>
    <w:tmpl w:val="3BC9529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77350032"/>
    <w:multiLevelType w:val="multilevel"/>
    <w:tmpl w:val="7735003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7321D2"/>
    <w:rsid w:val="FF73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2026-08-28T11:39:00Z</dcterms:created>
  <dc:creator>刘燕</dc:creator>
  <cp:lastModifiedBy>刘燕</cp:lastModifiedBy>
  <dcterms:modified xsi:type="dcterms:W3CDTF">2026-08-28T11:40:03Z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540EB1E952002918E102916A2F10FA97_41</vt:lpwstr>
  </property>
</Properties>
</file>